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2E" w:rsidRPr="00E2322E" w:rsidRDefault="00E2322E" w:rsidP="00E232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>Конституция РФ, Статья 41</w:t>
      </w:r>
    </w:p>
    <w:p w:rsidR="00E2322E" w:rsidRPr="00E2322E" w:rsidRDefault="00E2322E" w:rsidP="00E23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Статья 41</w:t>
      </w: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br/>
        <w:t>       </w:t>
      </w:r>
      <w:bookmarkStart w:id="0" w:name="p1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1.</w:t>
      </w:r>
      <w:bookmarkEnd w:id="0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 </w:t>
      </w: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br/>
        <w:t>       </w:t>
      </w:r>
      <w:bookmarkStart w:id="1" w:name="p2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2.</w:t>
      </w:r>
      <w:bookmarkEnd w:id="1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 </w:t>
      </w:r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br/>
        <w:t>       </w:t>
      </w:r>
      <w:bookmarkStart w:id="2" w:name="p3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3.</w:t>
      </w:r>
      <w:bookmarkEnd w:id="2"/>
      <w:r w:rsidRPr="00E2322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E2322E" w:rsidRPr="00E2322E" w:rsidRDefault="00E2322E" w:rsidP="00E2322E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bookmarkStart w:id="3" w:name="c1"/>
      <w:r w:rsidRPr="00E2322E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>Комм.</w:t>
      </w:r>
      <w:bookmarkEnd w:id="3"/>
      <w:r w:rsidRPr="00E2322E">
        <w:rPr>
          <w:rFonts w:ascii="Times New Roman CYR" w:eastAsia="Times New Roman" w:hAnsi="Times New Roman CYR" w:cs="Times New Roman CYR"/>
          <w:i/>
          <w:iCs/>
          <w:color w:val="000000"/>
          <w:sz w:val="20"/>
        </w:rPr>
        <w:t> </w:t>
      </w:r>
      <w:proofErr w:type="spellStart"/>
      <w:r w:rsidRPr="00E2322E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>Ноздрачев</w:t>
      </w:r>
      <w:proofErr w:type="spellEnd"/>
      <w:r w:rsidRPr="00E2322E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</w:rPr>
        <w:t xml:space="preserve"> А.Ф.</w:t>
      </w:r>
    </w:p>
    <w:p w:rsidR="00E2322E" w:rsidRPr="00E2322E" w:rsidRDefault="00E2322E" w:rsidP="00E232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       В ч.1 ст.41 признается право каждого человека на охрану здоровья и медицинскую помощь в соответствии со ст.25 Всеобщей декларации прав человека и ст.12 Международного пакта об экономических, социальных и культурных правах, а также ст.2 Протокола No.1 </w:t>
      </w:r>
      <w:proofErr w:type="spellStart"/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o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т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20 марта 1952г. к Европейской конвенции о защите прав человека и основных свобод.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Здоровье — это состояние полного физического, душевного и социального благополучия, а не только отсутствие болезней и физических дефектов. Поэтому под охраной здоровья понимается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Медицинская помощь включает профилактическую, лечебно-диагностическую, реабилитационную, протезно-ортопедическую и зубопротезную помощь, а также меры социального характера по уходу за больными, нетрудоспособными и инвалидами, включая выплату пособий по временной нетрудоспособности.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Основным актом, регулирующим отношения в области охраны здоровья граждан, являются Основы законодательства Российской Федерации об охране здоровья граждан от 22 июля 1993г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.. 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В них содержатся правовые основы организации охраны здоровья, определяются права граждан и их гарантии, обязанности и ответственность медико-социальных учреждений.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Право граждан на охрану здоровья обеспечивается охраной окружающей природной среды, созданием благоприятных условий труда, быта, отдыха, воспитания и обучения граждан, производством и реализацией доброкачественных продуктов питания, а также предоставлением населению доступной медико-социальной помощи.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Государство обеспечивает гражданам охрану здоровья независимо от пола, расы, национальности, языка, социального происхождения, должностного положения, места жительства, отношения к религии, убеждений, принадлежности к общественным объединениям и др.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Государство гарантирует гражданам защиту от любых форм дискриминации, обусловленной наличием у них каких-либо заболеваний. Лица, виновные в нарушении этого положения, несут ответственность в соответствии со ст.17 Основ законодательства об охране здоровья граждан.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Гражданам России, находящимся за ее пределами, гарантируется право на охрану здоровья в соответствии с международными договорами Российской Федерации.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Иностранным гражданам, находящимся на территории России, также гарантируется право на охрану здоровья в соответствии с международными договорами России. Лица без гражданства, постоянно проживающие в России, и беженцы пользуются правом на охрану здоровья наравне с российскими гражданами, если иное не предусмотрено международными договорами России. Порядок оказания медицинской помощи иностранным гражданам, лицам без гражданства и беженцам определяется </w:t>
      </w:r>
      <w:proofErr w:type="spell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Минздравмедпромом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России и министерствами здравоохранения республик в составе Федерации.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hyperlink r:id="rId4" w:anchor="p1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Часть 1 ст.41</w:t>
        </w:r>
      </w:hyperlink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устанавливает,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Гарантированный объем 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бесплатной медицинской помощи гражданам обеспечивается в соответствии с программами обязательного медицинского страхования.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Общий порядок оказания медико-социальной помощи, а также права граждан при оказании медико-социальной помощи установлены Основами законодательства об охране здоровья граждан (разд. VI— VIII).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Граждане имеют право и на дополнительные медицинские и иные услуги на основе программ добровольного медицинского страхования в соответствии с Законом РСФСР «О медицинском страховании граждан в Российской Федерации» от 28 июня 1991г., а также за счет сре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дств пр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едприятий, учреждений и организаций, своих личных средств и иных источников.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Законом о медицинском страховании граждан определено два вида медицинского страхования: обязательное и добровольное. Субъектами страхования являются: гражданин, страхователь, страховая медицинская организация и лечебное учреждение. Страховые взносы на обязательное медицинское страхование неработающего населения (пенсионеров и др.) осуществляют органы власти субъектов Федерации за счет своих бюджетов; для работающего населения — предприятия, учреждения, организации, лица, занимающиеся предпринимательской деятельностью, и лица свободных профессий. Страхователями при добровольном медицинском страховании выступают граждане. Застрахованные граждане получают страховые медицинские полисы.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В системе медицинского страхования граждане имеют право на: обязательное и добровольное страхование; выбор медицинской страховой организации; выбор лечебного учреждения и врача в соответствии с договором обязательного и добровольного страхования; получение медицинской помощи на всей территории страны, в том числе за пределами постоянного места жительства; предъявление иска страхователю, страховой медицинской организации, лечебному учреждению, в том числе на материальное возмещение причиненного по их вине ущерба, и др.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Права отдельных групп населения гарантируются государством особо. В Основах законодательства об охране здоровья граждан гарантии в области охраны здоровья установлены: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семье (ст.22);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беременным женщинам и матерям (ст.23);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несовершеннолетним (ст.24);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военнослужащим, гражданам, подлежащим призыву на военную службу и поступающим на военную службу по контракту (ст.25);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гражданам пожилого возраста (ст.26);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инвалидам (ст.27);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гражданам при чрезвычайных ситуациях и в экологически неблагополучных районах (ст.28) и др.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При обращении за медицинской помощью и ее получении в соответствии с Основами законодательства об охране здоровья граждане имеют право на: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уважительное и гуманное отношение со стороны медицинского и обслуживающего персонала;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    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обследование, лечение и содержание в условиях, соответствующих санитарно-гигиеническим требованиям;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проведение консилиума и консультаций других специалистов;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облегчение боли, связанной с заболеванием и (или) медицинским вмешательством, доступными способами и средствами (ст.30);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 (ст.61);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информированное добровольное согласие на медицинское вмешательство (ст.32);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отказ от медицинского вмешательства (ст.33);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    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получение информации о своих правах и обязанностях и состоянии своего здоровья (ст.31), а также выбор лиц, которым в интересах пациента может быть передана информация о состоянии его здоровья (ст.30);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получение медицинских и иных услуг в рамках программ добровольного медицинского страхования (ст.30);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возмещение ущерба в случае причинения вреда здоровью при оказании медицинской помощи (ст.68).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 либо в суд.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       В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hyperlink r:id="rId5" w:anchor="p2" w:history="1">
        <w:proofErr w:type="gramStart"/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ч</w:t>
        </w:r>
        <w:proofErr w:type="gramEnd"/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.2 ст.41</w:t>
        </w:r>
      </w:hyperlink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Конституции определяется общий порядок разработки и финансирования федеральных программ охраны и укрепления здоровья населения. В соответствии с Основами об охране здоровья граждан в стране разрабатываются и финансируются федеральные программы по развитию здравоохранения, профилактике заболеваний, оказанию медицинской помощи, медицинскому образованию населения, развитию государственной, муниципальной и частной форм здравоохранения и другим вопросам в области охраны здоровья граждан. Особое значение имеют медико-социальные программы, например Федеральная целевая программа по предупреждению распространения заболеваний </w:t>
      </w:r>
      <w:proofErr w:type="spell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СПИДом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(</w:t>
      </w:r>
      <w:proofErr w:type="spell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антиСПИД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), Концепция государственной политики по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контролю за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наркотиками в Российской Федерации и др. Субъекты Федерации разрабатывают региональные программы охраны здоровья населения.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Программные положения и нормы, направленные на укрепление здоровья и его охрану, содержатся и в ряде других нормативных актов: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Законе РСФСР о санитарно-эпидемиологическом благополучии населения от 19 апреля 1991г., Основах законодательства Российской Федерации о физической культуре и спорте, Законе РСФСР «Об охране окружающей природной среды» от 19 декабря 1991г. и др.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Источниками финансирования охраны здоровья граждан в соответствии со ст.10 Основ являются: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средства бюджетов всех уровней;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    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средства, направляемые на обязательное и добровольное медицинское страхование в соответствии с Законом «О медицинском страховании граждан»;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средства целевых фондов, предназначенных для охраны здоровья граждан;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средства государственных и муниципальных предприятий, организаций и других хозяйствующих субъектов, общественных объединений; доходы от ценных бумаг;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кредиты банков и других кредиторов; безвозмездные и (или) благотворительные взносы и пожертвования;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     иные источники, не запрещенные законодательством.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В Российской Федерации охрана здоровья населения обеспечивается государственной, муниципальной и частной системами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Отношения граждан, органов государственной власти и управления, хозяйствующих субъектов и субъектов государственной, муниципальной и частной систем здравоохранения в области охраны здоровья регулируются ст.12, 13, 14 Основ.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Согласно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hyperlink r:id="rId6" w:anchor="p3" w:history="1">
        <w:proofErr w:type="gramStart"/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ч</w:t>
        </w:r>
        <w:proofErr w:type="gramEnd"/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.3 ст.41</w:t>
        </w:r>
      </w:hyperlink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Конституции сокрытие должностными лицами любого уровня фактов и обстоятельств, создающих угрозу для жизни и здоровья людей, влечет за собой ответственность в соответствии с федеральным законом. Сокрытие — это не только утаивание информации, но и распространение заведомо недостоверной, ложной информации о состоянии окружающей среды, санитарно-эпидемиологическом состоянии и других событиях и обстоятельствах, угрожающих здоровью людей.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Граждане имеют право на регулярное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состоянии района проживания, рациональных нормах питания, о продуктах, работах, услугах, их соответствии санитарным нормам и правилам и др. Эта информация предоставляется местной администрацией через средства массовой информации или непосредственно гражданам по их запросам в порядке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,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устанавливаемом Правительством России, в соответствии со ст.19 Основ.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Ответственность за причинение вреда здоровью граждан предусматривается в разделе XII Основ.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Конкретные меры ответственности за причинение вреда здоровью граждан предусматриваются в различных отраслях законодательства.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Так, административное законодательство предусматривает административную ответственность за нарушение правил по охране труда, санитарно-гигиенических и санитарно-противоэпидемических правил и норм, за выброс загрязняющих веществ в окружающую среду с превышением предельно допустимых концентраций, за сокрытие источника заражения венерической болезнью и контактов больных, создающих опасность заражения, и др. (</w:t>
      </w:r>
      <w:proofErr w:type="spell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КоАП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РСФСР, ст.</w:t>
      </w:r>
      <w:hyperlink r:id="rId7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41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—</w:t>
      </w:r>
      <w:hyperlink r:id="rId8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45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hyperlink r:id="rId9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82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—</w:t>
      </w:r>
      <w:hyperlink r:id="rId10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84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hyperlink r:id="rId11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101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-</w:t>
      </w:r>
      <w:hyperlink r:id="rId12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102</w:t>
        </w:r>
      </w:hyperlink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и др.).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>       Гражданское законодательство предусматривает материальную ответственность за причинение вреда здоровью. Гражданин (физическое лицо) или юридическое лицо в случае причинения вреда здоровью другого лица обязаны возместить вред в полном объеме. Причинивший вред освобождается от его возмещения только в одном случае: если докажет, что вред причинен не по его вине. Потерпевший также имеет право на компенсацию морального вреда (нравственных и физических страданий). Размер такой компенсации определяется судом в денежной сумме.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В случае причинения увечья или иного повреждения здоровья гражданин или юридическое лицо, ответственное за вред, обязаны возместить потерпевшему заработок (доход), утраченный 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им вследствие потери трудоспособности или уменьшения ее, а также расходы, вызванные повреждением здоровья (расходы на лечение, усиленное питание, протезирование, посторонний уход и т.п.), (ст.</w:t>
      </w:r>
      <w:hyperlink r:id="rId13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1084</w:t>
        </w:r>
      </w:hyperlink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—</w:t>
      </w:r>
      <w:hyperlink r:id="rId14" w:history="1">
        <w:r w:rsidRPr="00E2322E">
          <w:rPr>
            <w:rFonts w:ascii="Arial CYR" w:eastAsia="Times New Roman" w:hAnsi="Arial CYR" w:cs="Arial CYR"/>
            <w:color w:val="0000FF"/>
            <w:sz w:val="20"/>
            <w:u w:val="single"/>
          </w:rPr>
          <w:t>1094</w:t>
        </w:r>
      </w:hyperlink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ГК РФ).</w:t>
      </w:r>
      <w:r w:rsidRPr="00E2322E">
        <w:rPr>
          <w:rFonts w:ascii="Arial CYR" w:eastAsia="Times New Roman" w:hAnsi="Arial CYR" w:cs="Arial CYR"/>
          <w:color w:val="000000"/>
          <w:sz w:val="20"/>
        </w:rPr>
        <w:t> </w:t>
      </w:r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       Уголовное законодательство предусматривает наказание за причинение телесных повреждений (нанесение побоев), истязание, заражение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венерической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, </w:t>
      </w:r>
      <w:proofErr w:type="spell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Вич-инфекцией</w:t>
      </w:r>
      <w:proofErr w:type="spell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и </w:t>
      </w:r>
      <w:proofErr w:type="gramStart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>некоторыми другими болезнями, неоказание помощи больному, угрозу убийством; загрязнение водоемов и воздуха, загрязнение моря веществами, вредными для здоровья людей и для живых ресурсов моря; склонение к потреблению наркотических веществ и другие преступления, посягающие на здоровье или создающие угрозу здоровью людей, а также нарушение правил: безопасности движения и эксплуатации транспорта; безопасности горных работ;</w:t>
      </w:r>
      <w:proofErr w:type="gramEnd"/>
      <w:r w:rsidRPr="00E2322E">
        <w:rPr>
          <w:rFonts w:ascii="Arial CYR" w:eastAsia="Times New Roman" w:hAnsi="Arial CYR" w:cs="Arial CYR"/>
          <w:color w:val="000000"/>
          <w:sz w:val="20"/>
          <w:szCs w:val="20"/>
        </w:rPr>
        <w:t xml:space="preserve"> при производстве строительных работ; безопасности на взрывоопасных предприятиях или во взрывоопасных цехах; хранения, использования, учета, перевозки взрывчатых и радиоактивных веществ или пиротехнических изделий; правил, установленных с целью борьбы с эпидемиями (ст.105—125, 131—135, 246—262 УК РФ)</w:t>
      </w:r>
    </w:p>
    <w:p w:rsidR="00B42968" w:rsidRDefault="00B42968"/>
    <w:sectPr w:rsidR="00B4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2322E"/>
    <w:rsid w:val="00B42968"/>
    <w:rsid w:val="00E2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2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22E"/>
  </w:style>
  <w:style w:type="character" w:styleId="a4">
    <w:name w:val="Hyperlink"/>
    <w:basedOn w:val="a0"/>
    <w:uiPriority w:val="99"/>
    <w:semiHidden/>
    <w:unhideWhenUsed/>
    <w:rsid w:val="00E23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-libr.ru/Law/CivilLaw/KOAP85a/kap045.shtml" TargetMode="External"/><Relationship Id="rId13" Type="http://schemas.openxmlformats.org/officeDocument/2006/relationships/hyperlink" Target="http://az-libr.ru/Law/CivilLaw/GKRF95/gkrf1084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-libr.ru/Law/CivilLaw/KOAP85a/kap041.shtml" TargetMode="External"/><Relationship Id="rId12" Type="http://schemas.openxmlformats.org/officeDocument/2006/relationships/hyperlink" Target="http://az-libr.ru/Law/CivilLaw/KOAP85a/kap102.s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z-libr.ru/Law/Constn/KRF93/krf041.shtml" TargetMode="External"/><Relationship Id="rId11" Type="http://schemas.openxmlformats.org/officeDocument/2006/relationships/hyperlink" Target="http://az-libr.ru/Law/CivilLaw/KOAP85a/kap101.shtml" TargetMode="External"/><Relationship Id="rId5" Type="http://schemas.openxmlformats.org/officeDocument/2006/relationships/hyperlink" Target="http://az-libr.ru/Law/Constn/KRF93/krf041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z-libr.ru/Law/CivilLaw/KOAP85a/kap084.shtml" TargetMode="External"/><Relationship Id="rId4" Type="http://schemas.openxmlformats.org/officeDocument/2006/relationships/hyperlink" Target="http://az-libr.ru/Law/Constn/KRF93/krf041.shtml" TargetMode="External"/><Relationship Id="rId9" Type="http://schemas.openxmlformats.org/officeDocument/2006/relationships/hyperlink" Target="http://az-libr.ru/Law/CivilLaw/KOAP85a/kap082.shtml" TargetMode="External"/><Relationship Id="rId14" Type="http://schemas.openxmlformats.org/officeDocument/2006/relationships/hyperlink" Target="http://az-libr.ru/Law/CivilLaw/GKRF95/gkrf109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13058</Characters>
  <Application>Microsoft Office Word</Application>
  <DocSecurity>0</DocSecurity>
  <Lines>108</Lines>
  <Paragraphs>30</Paragraphs>
  <ScaleCrop>false</ScaleCrop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2015-07-02T06:37:00Z</dcterms:created>
  <dcterms:modified xsi:type="dcterms:W3CDTF">2015-07-02T06:38:00Z</dcterms:modified>
</cp:coreProperties>
</file>